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spacing w:before="0" w:after="0" w:line="360" w:lineRule="auto"/>
        <w:ind w:leftChars="0"/>
        <w:jc w:val="center"/>
        <w:rPr>
          <w:rFonts w:hint="eastAsia" w:ascii="方正小标宋简体" w:hAnsi="方正小标宋简体" w:eastAsia="方正小标宋简体" w:cs="方正小标宋简体"/>
          <w:b w:val="0"/>
          <w:bCs w:val="0"/>
          <w:i w:val="0"/>
          <w:iCs w:val="0"/>
          <w:sz w:val="44"/>
          <w:szCs w:val="44"/>
          <w:lang w:val="en-US" w:eastAsia="zh-CN"/>
        </w:rPr>
      </w:pPr>
      <w:bookmarkStart w:id="0" w:name="_Toc176254280"/>
      <w:bookmarkStart w:id="1" w:name="_Toc175091672"/>
      <w:bookmarkStart w:id="2" w:name="_Toc296606011"/>
      <w:bookmarkStart w:id="3" w:name="_Toc184445805"/>
      <w:r>
        <w:rPr>
          <w:rFonts w:hint="eastAsia" w:ascii="方正小标宋简体" w:hAnsi="方正小标宋简体" w:eastAsia="方正小标宋简体" w:cs="方正小标宋简体"/>
          <w:b w:val="0"/>
          <w:bCs w:val="0"/>
          <w:i w:val="0"/>
          <w:iCs w:val="0"/>
          <w:sz w:val="44"/>
          <w:szCs w:val="44"/>
          <w:lang w:val="en-US" w:eastAsia="zh-CN"/>
        </w:rPr>
        <w:t>深圳市职教园公共配套设施（一期）</w:t>
      </w:r>
    </w:p>
    <w:p>
      <w:pPr>
        <w:pStyle w:val="2"/>
        <w:numPr>
          <w:ilvl w:val="0"/>
          <w:numId w:val="0"/>
        </w:numPr>
        <w:spacing w:before="0" w:after="0" w:line="360" w:lineRule="auto"/>
        <w:ind w:leftChars="0"/>
        <w:jc w:val="center"/>
        <w:rPr>
          <w:rFonts w:hint="eastAsia" w:ascii="方正小标宋简体" w:hAnsi="方正小标宋简体" w:eastAsia="方正小标宋简体" w:cs="方正小标宋简体"/>
          <w:b w:val="0"/>
          <w:bCs w:val="0"/>
          <w:i w:val="0"/>
          <w:iCs w:val="0"/>
          <w:sz w:val="44"/>
          <w:szCs w:val="44"/>
          <w:lang w:val="en-US" w:eastAsia="zh-CN"/>
        </w:rPr>
      </w:pPr>
      <w:r>
        <w:rPr>
          <w:rFonts w:hint="eastAsia" w:ascii="方正小标宋简体" w:hAnsi="方正小标宋简体" w:eastAsia="方正小标宋简体" w:cs="方正小标宋简体"/>
          <w:b w:val="0"/>
          <w:bCs w:val="0"/>
          <w:i w:val="0"/>
          <w:iCs w:val="0"/>
          <w:sz w:val="44"/>
          <w:szCs w:val="44"/>
          <w:lang w:val="en-US" w:eastAsia="zh-CN"/>
        </w:rPr>
        <w:t>公共设施设计任务书</w:t>
      </w:r>
    </w:p>
    <w:p>
      <w:pPr>
        <w:pStyle w:val="2"/>
        <w:numPr>
          <w:ilvl w:val="0"/>
          <w:numId w:val="0"/>
        </w:numPr>
        <w:spacing w:before="0" w:after="0" w:line="360" w:lineRule="auto"/>
        <w:ind w:leftChars="0"/>
        <w:rPr>
          <w:rFonts w:hint="eastAsia" w:ascii="宋体" w:hAnsi="宋体" w:eastAsia="宋体" w:cs="宋体"/>
          <w:i/>
          <w:iCs/>
          <w:sz w:val="28"/>
          <w:szCs w:val="28"/>
          <w:lang w:val="en-US" w:eastAsia="zh-CN"/>
        </w:rPr>
      </w:pPr>
    </w:p>
    <w:p>
      <w:pPr>
        <w:pStyle w:val="2"/>
        <w:numPr>
          <w:ilvl w:val="0"/>
          <w:numId w:val="0"/>
        </w:numPr>
        <w:spacing w:before="0" w:after="0" w:line="360" w:lineRule="auto"/>
        <w:ind w:leftChars="0"/>
        <w:rPr>
          <w:rFonts w:hint="default" w:ascii="宋体" w:hAnsi="宋体" w:eastAsia="宋体" w:cs="宋体"/>
          <w:i/>
          <w:iCs/>
          <w:sz w:val="28"/>
          <w:szCs w:val="28"/>
          <w:lang w:val="en-US" w:eastAsia="zh-CN"/>
        </w:rPr>
      </w:pPr>
      <w:r>
        <w:rPr>
          <w:rFonts w:hint="eastAsia" w:ascii="宋体" w:hAnsi="宋体" w:eastAsia="宋体" w:cs="宋体"/>
          <w:i/>
          <w:iCs/>
          <w:sz w:val="28"/>
          <w:szCs w:val="28"/>
          <w:lang w:val="en-US" w:eastAsia="zh-CN"/>
        </w:rPr>
        <w:t>以下内容节选自《</w:t>
      </w:r>
      <w:r>
        <w:rPr>
          <w:rFonts w:hint="eastAsia" w:ascii="宋体" w:hAnsi="宋体" w:eastAsia="宋体" w:cs="宋体"/>
          <w:i/>
          <w:iCs/>
          <w:sz w:val="28"/>
          <w:szCs w:val="28"/>
        </w:rPr>
        <w:t>公共配套设施（一期）</w:t>
      </w:r>
      <w:r>
        <w:rPr>
          <w:rFonts w:hint="eastAsia" w:ascii="宋体" w:hAnsi="宋体" w:eastAsia="宋体" w:cs="宋体"/>
          <w:i/>
          <w:iCs/>
          <w:sz w:val="28"/>
          <w:szCs w:val="28"/>
          <w:lang w:val="en-US" w:eastAsia="zh-CN"/>
        </w:rPr>
        <w:t>可行性研究报告（过程稿）》，具体数据以规资、发改批复文件为准。</w:t>
      </w:r>
    </w:p>
    <w:p>
      <w:pPr>
        <w:pStyle w:val="2"/>
        <w:numPr>
          <w:ilvl w:val="0"/>
          <w:numId w:val="1"/>
        </w:numPr>
        <w:spacing w:before="0" w:after="0" w:line="360" w:lineRule="auto"/>
        <w:ind w:left="425" w:leftChars="0" w:hanging="425" w:firstLineChars="0"/>
        <w:rPr>
          <w:rFonts w:hint="eastAsia" w:ascii="宋体" w:hAnsi="宋体" w:eastAsia="宋体" w:cs="宋体"/>
          <w:sz w:val="28"/>
          <w:szCs w:val="28"/>
        </w:rPr>
      </w:pPr>
      <w:r>
        <w:rPr>
          <w:rFonts w:hint="eastAsia" w:ascii="宋体" w:hAnsi="宋体" w:eastAsia="宋体" w:cs="宋体"/>
          <w:sz w:val="28"/>
          <w:szCs w:val="28"/>
        </w:rPr>
        <w:t>项目概况</w:t>
      </w:r>
      <w:bookmarkEnd w:id="0"/>
      <w:bookmarkEnd w:id="1"/>
    </w:p>
    <w:p>
      <w:pPr>
        <w:numPr>
          <w:ilvl w:val="1"/>
          <w:numId w:val="2"/>
        </w:numPr>
        <w:ind w:left="992" w:leftChars="0" w:hanging="567" w:firstLineChars="0"/>
        <w:outlineLvl w:val="2"/>
        <w:rPr>
          <w:rFonts w:hint="eastAsia" w:ascii="宋体" w:hAnsi="宋体" w:eastAsia="宋体" w:cs="宋体"/>
          <w:b/>
          <w:bCs/>
          <w:sz w:val="28"/>
          <w:szCs w:val="36"/>
        </w:rPr>
      </w:pPr>
      <w:bookmarkStart w:id="4" w:name="_Toc176254281"/>
      <w:bookmarkStart w:id="5" w:name="_Toc175091673"/>
      <w:r>
        <w:rPr>
          <w:rFonts w:hint="eastAsia" w:ascii="宋体" w:hAnsi="宋体" w:eastAsia="宋体" w:cs="宋体"/>
          <w:b/>
          <w:bCs/>
          <w:sz w:val="28"/>
          <w:szCs w:val="36"/>
        </w:rPr>
        <w:t>项目</w:t>
      </w:r>
      <w:bookmarkEnd w:id="2"/>
      <w:bookmarkEnd w:id="3"/>
      <w:r>
        <w:rPr>
          <w:rFonts w:hint="eastAsia" w:ascii="宋体" w:hAnsi="宋体" w:eastAsia="宋体" w:cs="宋体"/>
          <w:b/>
          <w:bCs/>
          <w:sz w:val="28"/>
          <w:szCs w:val="36"/>
        </w:rPr>
        <w:t>名称</w:t>
      </w:r>
      <w:bookmarkEnd w:id="4"/>
      <w:bookmarkEnd w:id="5"/>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项目名称：深圳市职教园公共配套设施总体设计——</w:t>
      </w:r>
      <w:bookmarkStart w:id="6" w:name="_Hlk173750371"/>
      <w:r>
        <w:rPr>
          <w:rFonts w:hint="eastAsia" w:ascii="宋体" w:hAnsi="宋体" w:eastAsia="宋体" w:cs="宋体"/>
          <w:sz w:val="24"/>
        </w:rPr>
        <w:t>公共配套设施（一期）</w:t>
      </w:r>
      <w:bookmarkEnd w:id="6"/>
      <w:r>
        <w:rPr>
          <w:rFonts w:hint="eastAsia" w:ascii="宋体" w:hAnsi="宋体" w:eastAsia="宋体" w:cs="宋体"/>
          <w:sz w:val="24"/>
          <w:lang w:val="en-US" w:eastAsia="zh-CN"/>
        </w:rPr>
        <w:t>公共</w:t>
      </w:r>
      <w:r>
        <w:rPr>
          <w:rFonts w:hint="eastAsia" w:ascii="宋体" w:hAnsi="宋体" w:eastAsia="宋体" w:cs="宋体"/>
          <w:sz w:val="24"/>
        </w:rPr>
        <w:t>配套建筑。</w:t>
      </w:r>
    </w:p>
    <w:p>
      <w:pPr>
        <w:numPr>
          <w:ilvl w:val="1"/>
          <w:numId w:val="2"/>
        </w:numPr>
        <w:ind w:left="992" w:leftChars="0" w:hanging="567" w:firstLineChars="0"/>
        <w:outlineLvl w:val="2"/>
        <w:rPr>
          <w:rFonts w:hint="eastAsia" w:ascii="宋体" w:hAnsi="宋体" w:eastAsia="宋体" w:cs="宋体"/>
          <w:b/>
          <w:bCs/>
          <w:sz w:val="28"/>
          <w:szCs w:val="36"/>
        </w:rPr>
      </w:pPr>
      <w:bookmarkStart w:id="7" w:name="_Toc175091674"/>
      <w:bookmarkStart w:id="8" w:name="_Toc176254282"/>
      <w:r>
        <w:rPr>
          <w:rFonts w:hint="eastAsia" w:ascii="宋体" w:hAnsi="宋体" w:eastAsia="宋体" w:cs="宋体"/>
          <w:b/>
          <w:bCs/>
          <w:sz w:val="28"/>
          <w:szCs w:val="36"/>
        </w:rPr>
        <w:t>建设地点</w:t>
      </w:r>
      <w:bookmarkEnd w:id="7"/>
      <w:bookmarkEnd w:id="8"/>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建设地点：龙岗区坪地街道，即龙岗大道西侧、外环高速北侧，职教园范围内。</w:t>
      </w:r>
    </w:p>
    <w:p>
      <w:pPr>
        <w:keepNext/>
        <w:spacing w:line="360" w:lineRule="auto"/>
        <w:ind w:firstLine="480" w:firstLineChars="200"/>
        <w:jc w:val="center"/>
        <w:rPr>
          <w:rFonts w:hint="eastAsia" w:ascii="宋体" w:hAnsi="宋体" w:eastAsia="宋体" w:cs="宋体"/>
        </w:rPr>
      </w:pPr>
      <w:r>
        <w:rPr>
          <w:rFonts w:hint="eastAsia" w:ascii="宋体" w:hAnsi="宋体" w:eastAsia="宋体" w:cs="宋体"/>
          <w:sz w:val="24"/>
        </w:rPr>
        <w:drawing>
          <wp:inline distT="0" distB="0" distL="0" distR="0">
            <wp:extent cx="4951730" cy="3553460"/>
            <wp:effectExtent l="0" t="0" r="1270" b="8890"/>
            <wp:docPr id="12191280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28066" name="图片 6"/>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977171" cy="3571787"/>
                    </a:xfrm>
                    <a:prstGeom prst="rect">
                      <a:avLst/>
                    </a:prstGeom>
                  </pic:spPr>
                </pic:pic>
              </a:graphicData>
            </a:graphic>
          </wp:inline>
        </w:drawing>
      </w:r>
    </w:p>
    <w:p>
      <w:pPr>
        <w:pStyle w:val="3"/>
        <w:jc w:val="center"/>
        <w:rPr>
          <w:rFonts w:hint="eastAsia" w:ascii="宋体" w:hAnsi="宋体" w:eastAsia="宋体" w:cs="宋体"/>
          <w:b/>
          <w:bCs/>
        </w:rPr>
      </w:pPr>
      <w:r>
        <w:rPr>
          <w:rFonts w:hint="eastAsia" w:ascii="宋体" w:hAnsi="宋体" w:eastAsia="宋体" w:cs="宋体"/>
          <w:b/>
          <w:bCs/>
        </w:rPr>
        <w:t xml:space="preserve">图1.1- </w:t>
      </w:r>
      <w:r>
        <w:rPr>
          <w:rFonts w:hint="eastAsia" w:ascii="宋体" w:hAnsi="宋体" w:eastAsia="宋体" w:cs="宋体"/>
          <w:b/>
          <w:bCs/>
        </w:rPr>
        <w:fldChar w:fldCharType="begin"/>
      </w:r>
      <w:r>
        <w:rPr>
          <w:rFonts w:hint="eastAsia" w:ascii="宋体" w:hAnsi="宋体" w:eastAsia="宋体" w:cs="宋体"/>
          <w:b/>
          <w:bCs/>
        </w:rPr>
        <w:instrText xml:space="preserve"> SEQ 图1.1- \* ARABIC </w:instrText>
      </w:r>
      <w:r>
        <w:rPr>
          <w:rFonts w:hint="eastAsia" w:ascii="宋体" w:hAnsi="宋体" w:eastAsia="宋体" w:cs="宋体"/>
          <w:b/>
          <w:bCs/>
        </w:rPr>
        <w:fldChar w:fldCharType="separate"/>
      </w:r>
      <w:r>
        <w:rPr>
          <w:rFonts w:hint="eastAsia" w:ascii="宋体" w:hAnsi="宋体" w:eastAsia="宋体" w:cs="宋体"/>
          <w:b/>
          <w:bCs/>
        </w:rPr>
        <w:t>1</w:t>
      </w:r>
      <w:r>
        <w:rPr>
          <w:rFonts w:hint="eastAsia" w:ascii="宋体" w:hAnsi="宋体" w:eastAsia="宋体" w:cs="宋体"/>
          <w:b/>
          <w:bCs/>
        </w:rPr>
        <w:fldChar w:fldCharType="end"/>
      </w:r>
      <w:r>
        <w:rPr>
          <w:rFonts w:hint="eastAsia" w:ascii="宋体" w:hAnsi="宋体" w:eastAsia="宋体" w:cs="宋体"/>
          <w:b/>
          <w:bCs/>
        </w:rPr>
        <w:t>--</w:t>
      </w:r>
      <w:r>
        <w:rPr>
          <w:rFonts w:hint="eastAsia" w:ascii="宋体" w:hAnsi="宋体" w:eastAsia="宋体" w:cs="宋体"/>
          <w:b/>
          <w:bCs/>
          <w:szCs w:val="21"/>
        </w:rPr>
        <w:t>区域位置图</w:t>
      </w:r>
    </w:p>
    <w:p>
      <w:pPr>
        <w:numPr>
          <w:ilvl w:val="1"/>
          <w:numId w:val="2"/>
        </w:numPr>
        <w:ind w:left="992" w:leftChars="0" w:hanging="567" w:firstLineChars="0"/>
        <w:outlineLvl w:val="2"/>
        <w:rPr>
          <w:rFonts w:hint="eastAsia" w:ascii="宋体" w:hAnsi="宋体" w:eastAsia="宋体" w:cs="宋体"/>
          <w:b/>
          <w:bCs/>
          <w:sz w:val="28"/>
          <w:szCs w:val="36"/>
        </w:rPr>
      </w:pPr>
      <w:bookmarkStart w:id="9" w:name="_Toc175091677"/>
      <w:bookmarkStart w:id="10" w:name="_Toc176254285"/>
      <w:r>
        <w:rPr>
          <w:rFonts w:hint="eastAsia" w:ascii="宋体" w:hAnsi="宋体" w:eastAsia="宋体" w:cs="宋体"/>
          <w:b/>
          <w:bCs/>
          <w:sz w:val="28"/>
          <w:szCs w:val="36"/>
        </w:rPr>
        <w:t>工程建设内容与规模</w:t>
      </w:r>
      <w:bookmarkEnd w:id="9"/>
      <w:bookmarkEnd w:id="10"/>
    </w:p>
    <w:p>
      <w:pPr>
        <w:spacing w:line="360" w:lineRule="auto"/>
        <w:ind w:firstLine="480" w:firstLineChars="200"/>
        <w:rPr>
          <w:rFonts w:hint="eastAsia" w:ascii="宋体" w:hAnsi="宋体" w:eastAsia="宋体" w:cs="宋体"/>
          <w:sz w:val="24"/>
        </w:rPr>
      </w:pPr>
      <w:bookmarkStart w:id="11" w:name="_Hlk175824938"/>
      <w:r>
        <w:rPr>
          <w:rFonts w:hint="eastAsia" w:ascii="宋体" w:hAnsi="宋体" w:eastAsia="宋体" w:cs="宋体"/>
          <w:sz w:val="24"/>
        </w:rPr>
        <w:t>1）01-08地块新建建筑</w:t>
      </w:r>
      <w:r>
        <w:rPr>
          <w:rFonts w:hint="eastAsia" w:ascii="宋体" w:hAnsi="宋体" w:eastAsia="宋体" w:cs="宋体"/>
          <w:sz w:val="24"/>
        </w:rPr>
        <w:tab/>
      </w:r>
      <w:r>
        <w:rPr>
          <w:rFonts w:hint="eastAsia" w:ascii="宋体" w:hAnsi="宋体" w:eastAsia="宋体" w:cs="宋体"/>
          <w:sz w:val="24"/>
        </w:rPr>
        <w:t>1栋（含图书馆、对外交流会议等功能），地上3层，地下2层，建筑面积为20410㎡；</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2）01-09地块新建建筑</w:t>
      </w:r>
      <w:r>
        <w:rPr>
          <w:rFonts w:hint="eastAsia" w:ascii="宋体" w:hAnsi="宋体" w:eastAsia="宋体" w:cs="宋体"/>
          <w:sz w:val="24"/>
        </w:rPr>
        <w:tab/>
      </w:r>
      <w:r>
        <w:rPr>
          <w:rFonts w:hint="eastAsia" w:ascii="宋体" w:hAnsi="宋体" w:eastAsia="宋体" w:cs="宋体"/>
          <w:sz w:val="24"/>
        </w:rPr>
        <w:t>1栋（含对外交流展厅、接待服务等功能），地上2层，地下2层，建筑面积为9389㎡；</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3）01-10地块新建建筑</w:t>
      </w:r>
      <w:r>
        <w:rPr>
          <w:rFonts w:hint="eastAsia" w:ascii="宋体" w:hAnsi="宋体" w:eastAsia="宋体" w:cs="宋体"/>
          <w:sz w:val="24"/>
        </w:rPr>
        <w:tab/>
      </w:r>
      <w:r>
        <w:rPr>
          <w:rFonts w:hint="eastAsia" w:ascii="宋体" w:hAnsi="宋体" w:eastAsia="宋体" w:cs="宋体"/>
          <w:sz w:val="24"/>
        </w:rPr>
        <w:t>1栋（含活动中心教学培训、研发工作室、宿舍及幼儿园等规划配套功能），地上4层，地下2层，建筑面积为18829㎡；</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4）各建筑需要新室外及配套设施。</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5）包含清洁能源使用、光储直柔系统、绿建创新体系和社会投资专项内容和政府投资的韧性海绵城市等专项内容</w:t>
      </w:r>
      <w:r>
        <w:rPr>
          <w:rFonts w:hint="eastAsia" w:ascii="宋体" w:hAnsi="宋体" w:cs="宋体"/>
          <w:sz w:val="24"/>
          <w:lang w:eastAsia="zh-CN"/>
        </w:rPr>
        <w:t>。</w:t>
      </w:r>
    </w:p>
    <w:bookmarkEnd w:id="11"/>
    <w:p>
      <w:pPr>
        <w:numPr>
          <w:ilvl w:val="1"/>
          <w:numId w:val="2"/>
        </w:numPr>
        <w:ind w:left="992" w:leftChars="0" w:hanging="567" w:firstLineChars="0"/>
        <w:outlineLvl w:val="2"/>
        <w:rPr>
          <w:rFonts w:hint="eastAsia" w:ascii="宋体" w:hAnsi="宋体" w:eastAsia="宋体" w:cs="宋体"/>
          <w:b/>
          <w:bCs/>
          <w:sz w:val="28"/>
          <w:szCs w:val="36"/>
        </w:rPr>
      </w:pPr>
      <w:bookmarkStart w:id="12" w:name="_Toc176254287"/>
      <w:bookmarkStart w:id="13" w:name="_Toc175091679"/>
      <w:r>
        <w:rPr>
          <w:rFonts w:hint="eastAsia" w:ascii="宋体" w:hAnsi="宋体" w:eastAsia="宋体" w:cs="宋体"/>
          <w:b/>
          <w:bCs/>
          <w:sz w:val="28"/>
          <w:szCs w:val="36"/>
        </w:rPr>
        <w:t>投资规模</w:t>
      </w:r>
      <w:bookmarkEnd w:id="12"/>
      <w:bookmarkEnd w:id="13"/>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公共配套设施（一期）公共建筑包括公配建筑的土石方、基坑、建筑、结构、装饰、电气、通风与空调、给排水、弱电、消防、燃气、电梯等；室外配套工程，海绵城市，绿色建筑，超低能耗等。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项目总计投资52465.10万元，公共配套建筑建安费用40408.26万元，工程建设其他费5223.88万元，预备费2281.61万元，信息化费用1565.85万元，开办费2985.51万元，设备费388.58万元。</w:t>
      </w:r>
    </w:p>
    <w:p>
      <w:pPr>
        <w:numPr>
          <w:ilvl w:val="1"/>
          <w:numId w:val="2"/>
        </w:numPr>
        <w:ind w:left="992" w:leftChars="0" w:hanging="567" w:firstLineChars="0"/>
        <w:outlineLvl w:val="2"/>
        <w:rPr>
          <w:rFonts w:hint="eastAsia" w:ascii="宋体" w:hAnsi="宋体" w:eastAsia="宋体" w:cs="宋体"/>
          <w:b/>
          <w:bCs/>
          <w:sz w:val="28"/>
          <w:szCs w:val="36"/>
        </w:rPr>
      </w:pPr>
      <w:bookmarkStart w:id="14" w:name="_Toc176254289"/>
      <w:bookmarkStart w:id="15" w:name="_Toc175091681"/>
      <w:r>
        <w:rPr>
          <w:rFonts w:hint="eastAsia" w:ascii="宋体" w:hAnsi="宋体" w:eastAsia="宋体" w:cs="宋体"/>
          <w:b/>
          <w:bCs/>
          <w:sz w:val="28"/>
          <w:szCs w:val="36"/>
        </w:rPr>
        <w:t>主要技术经济指标</w:t>
      </w:r>
      <w:bookmarkEnd w:id="14"/>
      <w:bookmarkEnd w:id="15"/>
    </w:p>
    <w:p>
      <w:pPr>
        <w:rPr>
          <w:rFonts w:hint="eastAsia" w:ascii="宋体" w:hAnsi="宋体" w:eastAsia="宋体" w:cs="宋体"/>
        </w:rPr>
      </w:pPr>
    </w:p>
    <w:p>
      <w:pPr>
        <w:jc w:val="center"/>
        <w:rPr>
          <w:rFonts w:hint="eastAsia" w:ascii="宋体" w:hAnsi="宋体" w:eastAsia="宋体" w:cs="宋体"/>
          <w:b/>
          <w:bCs/>
          <w:kern w:val="0"/>
          <w:sz w:val="20"/>
          <w:szCs w:val="20"/>
        </w:rPr>
      </w:pPr>
      <w:r>
        <w:rPr>
          <w:rFonts w:hint="eastAsia" w:ascii="宋体" w:hAnsi="宋体" w:eastAsia="宋体" w:cs="宋体"/>
          <w:sz w:val="20"/>
          <w:szCs w:val="20"/>
        </w:rPr>
        <w:t>表2</w:t>
      </w:r>
      <w:r>
        <w:rPr>
          <w:rFonts w:hint="eastAsia" w:ascii="宋体" w:hAnsi="宋体" w:eastAsia="宋体" w:cs="宋体"/>
          <w:b/>
          <w:bCs/>
          <w:kern w:val="0"/>
          <w:sz w:val="20"/>
          <w:szCs w:val="20"/>
        </w:rPr>
        <w:t>公共配套经济指标表</w:t>
      </w:r>
    </w:p>
    <w:tbl>
      <w:tblPr>
        <w:tblStyle w:val="6"/>
        <w:tblW w:w="8421" w:type="dxa"/>
        <w:tblInd w:w="-10" w:type="dxa"/>
        <w:tblLayout w:type="fixed"/>
        <w:tblCellMar>
          <w:top w:w="0" w:type="dxa"/>
          <w:left w:w="108" w:type="dxa"/>
          <w:bottom w:w="0" w:type="dxa"/>
          <w:right w:w="108" w:type="dxa"/>
        </w:tblCellMar>
      </w:tblPr>
      <w:tblGrid>
        <w:gridCol w:w="1252"/>
        <w:gridCol w:w="2861"/>
        <w:gridCol w:w="2062"/>
        <w:gridCol w:w="2246"/>
      </w:tblGrid>
      <w:tr>
        <w:tblPrEx>
          <w:tblLayout w:type="fixed"/>
          <w:tblCellMar>
            <w:top w:w="0" w:type="dxa"/>
            <w:left w:w="108" w:type="dxa"/>
            <w:bottom w:w="0" w:type="dxa"/>
            <w:right w:w="108" w:type="dxa"/>
          </w:tblCellMar>
        </w:tblPrEx>
        <w:trPr>
          <w:trHeight w:val="454" w:hRule="atLeast"/>
        </w:trPr>
        <w:tc>
          <w:tcPr>
            <w:tcW w:w="125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序号</w:t>
            </w:r>
          </w:p>
        </w:tc>
        <w:tc>
          <w:tcPr>
            <w:tcW w:w="2861"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建设内容</w:t>
            </w:r>
          </w:p>
        </w:tc>
        <w:tc>
          <w:tcPr>
            <w:tcW w:w="2062"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建设规模（㎡）</w:t>
            </w:r>
          </w:p>
        </w:tc>
        <w:tc>
          <w:tcPr>
            <w:tcW w:w="2246"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备注</w:t>
            </w:r>
          </w:p>
        </w:tc>
      </w:tr>
      <w:tr>
        <w:tblPrEx>
          <w:tblLayout w:type="fixed"/>
          <w:tblCellMar>
            <w:top w:w="0" w:type="dxa"/>
            <w:left w:w="108" w:type="dxa"/>
            <w:bottom w:w="0" w:type="dxa"/>
            <w:right w:w="108" w:type="dxa"/>
          </w:tblCellMar>
        </w:tblPrEx>
        <w:trPr>
          <w:trHeight w:val="454" w:hRule="atLeast"/>
        </w:trPr>
        <w:tc>
          <w:tcPr>
            <w:tcW w:w="8421"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01-08地块新建建筑</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占地面积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16673.12</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总建筑面积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 xml:space="preserve">20410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 xml:space="preserve">14816 </w:t>
            </w:r>
          </w:p>
        </w:tc>
        <w:tc>
          <w:tcPr>
            <w:tcW w:w="2246"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藏书区</w:t>
            </w:r>
          </w:p>
        </w:tc>
        <w:tc>
          <w:tcPr>
            <w:tcW w:w="2062"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3209</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借阅区</w:t>
            </w:r>
          </w:p>
        </w:tc>
        <w:tc>
          <w:tcPr>
            <w:tcW w:w="2062" w:type="dxa"/>
            <w:vMerge w:val="continue"/>
            <w:tcBorders>
              <w:top w:val="nil"/>
              <w:left w:val="single" w:color="auto" w:sz="8" w:space="0"/>
              <w:bottom w:val="single" w:color="000000" w:sz="8" w:space="0"/>
              <w:right w:val="single" w:color="auto" w:sz="8" w:space="0"/>
            </w:tcBorders>
            <w:vAlign w:val="center"/>
          </w:tcPr>
          <w:p>
            <w:pPr>
              <w:widowControl/>
              <w:jc w:val="left"/>
              <w:rPr>
                <w:rFonts w:hint="eastAsia" w:ascii="宋体" w:hAnsi="宋体" w:eastAsia="宋体" w:cs="宋体"/>
                <w:kern w:val="0"/>
                <w:sz w:val="22"/>
                <w:szCs w:val="22"/>
              </w:rPr>
            </w:pP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咨询服务区</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166</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公共活动与辅助服务</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830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业务区</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498</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行政办公区</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277</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技术设备区</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221</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后勤保障区</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332</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学术交流和会议功能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9283 </w:t>
            </w:r>
          </w:p>
        </w:tc>
        <w:tc>
          <w:tcPr>
            <w:tcW w:w="2246"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含会议室、会议厅及其配套用房</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前厅及休息厅</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1455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会议功能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5836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9.2.1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800人会议厅</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2473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9.2.2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400人会议厅</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1400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9.2.3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200人会议厅</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1055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9.2.4</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100人会议厅</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909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2间</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会议其他配套功能用房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1993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9.3.1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同声传译、媒体用房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600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9.3.2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管理辅助用房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1393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不计容积率面积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5594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地下车库</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4794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设备房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三</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容积率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0.89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四</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绿化覆盖率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五</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机动车停车位</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102</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六</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建筑限高</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七</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绿建等级</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国家三星级</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8421"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01-09地块新建建筑</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占地面积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5108.54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总建筑面积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 xml:space="preserve">9389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 xml:space="preserve">6239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文化展示功能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1970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接待服务功能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3500 </w:t>
            </w:r>
          </w:p>
        </w:tc>
        <w:tc>
          <w:tcPr>
            <w:tcW w:w="2246"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含餐厅、备餐区、管理保障用房及公众服务用房</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餐饮</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2909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管理保障用房及公众服务用房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591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园区综合管理功能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769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不计容积率面积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3150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地下车库</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2350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设备房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三</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容积率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1.22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四</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绿化覆盖率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五</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机动车停车位</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六</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建筑限高</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七</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绿建等级</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国家三星级</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8421"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01-10地块新建建筑</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占地面积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10306.99</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总建筑面积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18829</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13094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其他文化设施</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11030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教学培训</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5470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研发实训室</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2955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宿舍</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2205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1.4</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后勤设备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社区警务室</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3</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便民服务中心</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4</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3班幼儿园</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1164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不计容积率面积</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5735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1</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地下车库</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4935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2</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设备房</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800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三</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容积率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 xml:space="preserve">1.27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四</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绿化覆盖率</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30%</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五</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机动车停车位</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105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六</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建筑限高</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24</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七</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绿建等级</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国家三星级</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8421" w:type="dxa"/>
            <w:gridSpan w:val="4"/>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总体指标</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一</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公共配套（建筑）总用地规模（㎡）</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32646.5</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r>
        <w:tblPrEx>
          <w:tblLayout w:type="fixed"/>
          <w:tblCellMar>
            <w:top w:w="0" w:type="dxa"/>
            <w:left w:w="108" w:type="dxa"/>
            <w:bottom w:w="0" w:type="dxa"/>
            <w:right w:w="108" w:type="dxa"/>
          </w:tblCellMar>
        </w:tblPrEx>
        <w:trPr>
          <w:trHeight w:val="454" w:hRule="atLeast"/>
        </w:trPr>
        <w:tc>
          <w:tcPr>
            <w:tcW w:w="1252"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二</w:t>
            </w:r>
          </w:p>
        </w:tc>
        <w:tc>
          <w:tcPr>
            <w:tcW w:w="2861"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公共配套（建筑）总建筑规模（㎡）</w:t>
            </w:r>
          </w:p>
        </w:tc>
        <w:tc>
          <w:tcPr>
            <w:tcW w:w="2062"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 xml:space="preserve">48628 </w:t>
            </w:r>
          </w:p>
        </w:tc>
        <w:tc>
          <w:tcPr>
            <w:tcW w:w="2246"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　</w:t>
            </w:r>
          </w:p>
        </w:tc>
      </w:tr>
    </w:tbl>
    <w:p>
      <w:pPr>
        <w:rPr>
          <w:rFonts w:hint="eastAsia" w:ascii="宋体" w:hAnsi="宋体" w:eastAsia="宋体" w:cs="宋体"/>
        </w:rPr>
      </w:pPr>
    </w:p>
    <w:p>
      <w:p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附件：红线图</w:t>
      </w: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D0975"/>
    <w:multiLevelType w:val="multilevel"/>
    <w:tmpl w:val="542D0975"/>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987" w:hanging="567"/>
      </w:pPr>
      <w:rPr>
        <w:rFonts w:hint="eastAsia"/>
        <w:color w:val="000000" w:themeColor="text1"/>
        <w14:textFill>
          <w14:solidFill>
            <w14:schemeClr w14:val="tx1"/>
          </w14:solidFill>
        </w14:textFill>
      </w:rPr>
    </w:lvl>
    <w:lvl w:ilvl="3" w:tentative="0">
      <w:start w:val="1"/>
      <w:numFmt w:val="decimal"/>
      <w:lvlText w:val="%1.%2.%3.%4"/>
      <w:lvlJc w:val="left"/>
      <w:pPr>
        <w:ind w:left="2835" w:hanging="708"/>
      </w:pPr>
      <w:rPr>
        <w:rFonts w:hint="eastAsia"/>
        <w:color w:val="000000" w:themeColor="text1"/>
        <w14:textFill>
          <w14:solidFill>
            <w14:schemeClr w14:val="tx1"/>
          </w14:solidFill>
        </w14:textFill>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8936567"/>
    <w:multiLevelType w:val="multilevel"/>
    <w:tmpl w:val="78936567"/>
    <w:lvl w:ilvl="0" w:tentative="0">
      <w:start w:val="1"/>
      <w:numFmt w:val="decimal"/>
      <w:lvlText w:val="%1"/>
      <w:lvlJc w:val="left"/>
      <w:pPr>
        <w:ind w:left="425" w:hanging="425"/>
      </w:pPr>
    </w:lvl>
    <w:lvl w:ilvl="1" w:tentative="0">
      <w:start w:val="1"/>
      <w:numFmt w:val="decimal"/>
      <w:lvlText w:val="%1.%2"/>
      <w:lvlJc w:val="left"/>
      <w:pPr>
        <w:ind w:left="850"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1OGY5NTBiNjBjYWY3MWE5NzY1NTc1M2YzOTA5ODcifQ=="/>
  </w:docVars>
  <w:rsids>
    <w:rsidRoot w:val="00123EEC"/>
    <w:rsid w:val="00123EEC"/>
    <w:rsid w:val="00B06DAE"/>
    <w:rsid w:val="24415CD5"/>
    <w:rsid w:val="24560CE4"/>
    <w:rsid w:val="459A273F"/>
    <w:rsid w:val="7F743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caption"/>
    <w:basedOn w:val="1"/>
    <w:next w:val="1"/>
    <w:link w:val="16"/>
    <w:qFormat/>
    <w:uiPriority w:val="0"/>
    <w:rPr>
      <w:rFonts w:ascii="Arial" w:hAnsi="Arial" w:eastAsia="黑体" w:cs="Arial"/>
      <w:sz w:val="20"/>
      <w:szCs w:val="20"/>
    </w:rPr>
  </w:style>
  <w:style w:type="paragraph" w:styleId="4">
    <w:name w:val="annotation text"/>
    <w:basedOn w:val="1"/>
    <w:link w:val="11"/>
    <w:qFormat/>
    <w:uiPriority w:val="99"/>
    <w:pPr>
      <w:jc w:val="left"/>
    </w:pPr>
  </w:style>
  <w:style w:type="paragraph" w:styleId="5">
    <w:name w:val="Balloon Text"/>
    <w:basedOn w:val="1"/>
    <w:link w:val="17"/>
    <w:semiHidden/>
    <w:unhideWhenUsed/>
    <w:qFormat/>
    <w:uiPriority w:val="99"/>
    <w:rPr>
      <w:sz w:val="18"/>
      <w:szCs w:val="18"/>
    </w:rPr>
  </w:style>
  <w:style w:type="table" w:styleId="7">
    <w:name w:val="Table Grid"/>
    <w:basedOn w:val="6"/>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annotation reference"/>
    <w:qFormat/>
    <w:uiPriority w:val="99"/>
    <w:rPr>
      <w:sz w:val="21"/>
      <w:szCs w:val="21"/>
    </w:rPr>
  </w:style>
  <w:style w:type="character" w:customStyle="1" w:styleId="10">
    <w:name w:val="标题 2 字符"/>
    <w:basedOn w:val="8"/>
    <w:link w:val="2"/>
    <w:qFormat/>
    <w:uiPriority w:val="0"/>
    <w:rPr>
      <w:rFonts w:ascii="Arial" w:hAnsi="Arial" w:eastAsia="黑体" w:cs="Times New Roman"/>
      <w:b/>
      <w:bCs/>
      <w:sz w:val="32"/>
      <w:szCs w:val="32"/>
    </w:rPr>
  </w:style>
  <w:style w:type="character" w:customStyle="1" w:styleId="11">
    <w:name w:val="批注文字 字符"/>
    <w:basedOn w:val="8"/>
    <w:link w:val="4"/>
    <w:qFormat/>
    <w:uiPriority w:val="99"/>
    <w:rPr>
      <w:rFonts w:ascii="Times New Roman" w:hAnsi="Times New Roman" w:eastAsia="宋体" w:cs="Times New Roman"/>
      <w:szCs w:val="24"/>
    </w:rPr>
  </w:style>
  <w:style w:type="paragraph" w:styleId="12">
    <w:name w:val="List Paragraph"/>
    <w:basedOn w:val="1"/>
    <w:link w:val="15"/>
    <w:qFormat/>
    <w:uiPriority w:val="34"/>
    <w:pPr>
      <w:ind w:firstLine="420" w:firstLineChars="200"/>
    </w:pPr>
    <w:rPr>
      <w:rFonts w:ascii="Calibri" w:hAnsi="Calibri" w:eastAsia="仿宋_GB2312"/>
      <w:sz w:val="24"/>
      <w:szCs w:val="22"/>
    </w:rPr>
  </w:style>
  <w:style w:type="paragraph" w:customStyle="1" w:styleId="13">
    <w:name w:val="可研-正文"/>
    <w:basedOn w:val="1"/>
    <w:link w:val="14"/>
    <w:qFormat/>
    <w:uiPriority w:val="0"/>
    <w:pPr>
      <w:spacing w:line="360" w:lineRule="auto"/>
      <w:ind w:firstLine="200" w:firstLineChars="200"/>
    </w:pPr>
    <w:rPr>
      <w:rFonts w:eastAsiaTheme="minorEastAsia" w:cstheme="minorBidi"/>
      <w:sz w:val="24"/>
      <w:szCs w:val="22"/>
    </w:rPr>
  </w:style>
  <w:style w:type="character" w:customStyle="1" w:styleId="14">
    <w:name w:val="可研-正文 Char"/>
    <w:link w:val="13"/>
    <w:qFormat/>
    <w:uiPriority w:val="0"/>
    <w:rPr>
      <w:rFonts w:ascii="Times New Roman" w:hAnsi="Times New Roman"/>
      <w:sz w:val="24"/>
    </w:rPr>
  </w:style>
  <w:style w:type="character" w:customStyle="1" w:styleId="15">
    <w:name w:val="列出段落 字符"/>
    <w:basedOn w:val="8"/>
    <w:link w:val="12"/>
    <w:qFormat/>
    <w:uiPriority w:val="34"/>
    <w:rPr>
      <w:rFonts w:ascii="Calibri" w:hAnsi="Calibri" w:eastAsia="仿宋_GB2312" w:cs="Times New Roman"/>
      <w:sz w:val="24"/>
    </w:rPr>
  </w:style>
  <w:style w:type="character" w:customStyle="1" w:styleId="16">
    <w:name w:val="题注 字符"/>
    <w:basedOn w:val="8"/>
    <w:link w:val="3"/>
    <w:qFormat/>
    <w:locked/>
    <w:uiPriority w:val="0"/>
    <w:rPr>
      <w:rFonts w:ascii="Arial" w:hAnsi="Arial" w:eastAsia="黑体" w:cs="Arial"/>
      <w:sz w:val="20"/>
      <w:szCs w:val="20"/>
    </w:rPr>
  </w:style>
  <w:style w:type="character" w:customStyle="1" w:styleId="17">
    <w:name w:val="批注框文本 字符"/>
    <w:basedOn w:val="8"/>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1125</Words>
  <Characters>1435</Characters>
  <Lines>21</Lines>
  <Paragraphs>6</Paragraphs>
  <TotalTime>0</TotalTime>
  <ScaleCrop>false</ScaleCrop>
  <LinksUpToDate>false</LinksUpToDate>
  <CharactersWithSpaces>1526</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2024-09-18T12:38:00Z</dcterms:created>
  <dc:creator>王湘昀</dc:creator>
  <cp:lastModifiedBy>15840</cp:lastModifiedBy>
  <dcterms:modified xsi:type="dcterms:W3CDTF">2024-09-19T07:15:04Z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4CAFE8E8C11C42748A6583A6FF578212_12</vt:lpwstr>
  </property>
</Properties>
</file>